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7B" w:rsidRDefault="00684F65">
      <w:pPr>
        <w:pStyle w:val="a3"/>
        <w:rPr>
          <w:rFonts w:ascii="Times New Roman"/>
          <w:sz w:val="80"/>
          <w:szCs w:val="80"/>
        </w:rPr>
      </w:pPr>
      <w:r w:rsidRPr="00684F65">
        <w:rPr>
          <w:sz w:val="80"/>
          <w:szCs w:val="80"/>
        </w:rPr>
        <w:pict>
          <v:rect id="_x0000_s1027" style="position:absolute;margin-left:0;margin-top:0;width:595.3pt;height:841.9pt;z-index:-251657216;mso-position-horizontal-relative:page;mso-position-vertical-relative:page" filled="f" strokecolor="#231f20" strokeweight=".2mm">
            <w10:wrap anchorx="page" anchory="page"/>
          </v:rect>
        </w:pict>
      </w:r>
      <w:bookmarkStart w:id="0" w:name="页_1"/>
      <w:bookmarkEnd w:id="0"/>
      <w:r w:rsidR="00334D0F">
        <w:rPr>
          <w:color w:val="ED1C24"/>
          <w:w w:val="45"/>
          <w:sz w:val="82"/>
          <w:szCs w:val="82"/>
        </w:rPr>
        <w:t>龙岩市工程建设项目审批制度改革领导小组</w:t>
      </w:r>
      <w:r w:rsidR="00334D0F">
        <w:rPr>
          <w:rFonts w:hint="eastAsia"/>
          <w:color w:val="ED1C24"/>
          <w:w w:val="45"/>
          <w:sz w:val="82"/>
          <w:szCs w:val="82"/>
        </w:rPr>
        <w:t>办</w:t>
      </w:r>
      <w:r w:rsidR="00334D0F">
        <w:rPr>
          <w:color w:val="ED1C24"/>
          <w:w w:val="45"/>
          <w:sz w:val="82"/>
          <w:szCs w:val="82"/>
        </w:rPr>
        <w:t>公室</w:t>
      </w:r>
    </w:p>
    <w:p w:rsidR="00E1457B" w:rsidRDefault="00E1457B">
      <w:pPr>
        <w:pStyle w:val="a3"/>
        <w:spacing w:before="11"/>
        <w:jc w:val="center"/>
        <w:rPr>
          <w:sz w:val="16"/>
        </w:rPr>
      </w:pPr>
    </w:p>
    <w:p w:rsidR="00E1457B" w:rsidRDefault="000B4AC2" w:rsidP="000B4AC2">
      <w:pPr>
        <w:jc w:val="center"/>
        <w:rPr>
          <w:rFonts w:ascii="仿宋_GB2312" w:eastAsia="仿宋_GB2312"/>
          <w:sz w:val="32"/>
          <w:szCs w:val="32"/>
        </w:rPr>
      </w:pPr>
      <w:r w:rsidRPr="000B4AC2">
        <w:rPr>
          <w:rFonts w:ascii="仿宋_GB2312" w:eastAsia="仿宋_GB2312" w:hint="eastAsia"/>
          <w:sz w:val="32"/>
          <w:szCs w:val="32"/>
        </w:rPr>
        <w:t>龙建审改〔</w:t>
      </w:r>
      <w:r w:rsidRPr="000B4AC2">
        <w:rPr>
          <w:rFonts w:ascii="仿宋_GB2312" w:eastAsia="仿宋_GB2312"/>
          <w:sz w:val="32"/>
          <w:szCs w:val="32"/>
        </w:rPr>
        <w:t>2021〕</w:t>
      </w:r>
      <w:r w:rsidR="009F70F0">
        <w:rPr>
          <w:rFonts w:ascii="仿宋_GB2312" w:eastAsia="仿宋_GB2312" w:hint="eastAsia"/>
          <w:sz w:val="32"/>
          <w:szCs w:val="32"/>
        </w:rPr>
        <w:t>9</w:t>
      </w:r>
      <w:r w:rsidRPr="000B4AC2">
        <w:rPr>
          <w:rFonts w:ascii="仿宋_GB2312" w:eastAsia="仿宋_GB2312"/>
          <w:sz w:val="32"/>
          <w:szCs w:val="32"/>
        </w:rPr>
        <w:t>号</w:t>
      </w:r>
      <w:r w:rsidR="00684F65" w:rsidRPr="00684F65">
        <w:rPr>
          <w:sz w:val="90"/>
        </w:rPr>
        <w:pict>
          <v:shape id="_x0000_s1026" style="position:absolute;left:0;text-align:left;margin-left:54.6pt;margin-top:34pt;width:473.4pt;height:.1pt;z-index:-251656192;mso-wrap-distance-top:0;mso-wrap-distance-bottom:0;mso-position-horizontal-relative:page;mso-position-vertical-relative:text;mso-width-relative:page;mso-height-relative:page" coordorigin="1219,382" coordsize="9468,0" path="m1219,382r9468,e" filled="f" strokecolor="#ed1c24" strokeweight="1.7mm">
            <v:path arrowok="t"/>
            <w10:wrap type="topAndBottom" anchorx="page"/>
          </v:shape>
        </w:pict>
      </w:r>
      <w:bookmarkStart w:id="1" w:name="_GoBack"/>
      <w:bookmarkEnd w:id="1"/>
    </w:p>
    <w:p w:rsidR="00DF1E1E" w:rsidRDefault="00DF1E1E" w:rsidP="000B4AC2">
      <w:pPr>
        <w:jc w:val="center"/>
        <w:rPr>
          <w:rFonts w:ascii="仿宋_GB2312" w:eastAsia="仿宋_GB2312"/>
          <w:sz w:val="32"/>
          <w:szCs w:val="32"/>
        </w:rPr>
      </w:pPr>
    </w:p>
    <w:p w:rsidR="00F3683B" w:rsidRDefault="00F3683B" w:rsidP="009F70F0">
      <w:pPr>
        <w:jc w:val="center"/>
        <w:rPr>
          <w:sz w:val="36"/>
          <w:szCs w:val="36"/>
        </w:rPr>
      </w:pPr>
      <w:r>
        <w:rPr>
          <w:rFonts w:hint="eastAsia"/>
          <w:sz w:val="36"/>
          <w:szCs w:val="36"/>
        </w:rPr>
        <w:t>龙岩市工程建设项目审批制度改革领导小组办公室</w:t>
      </w:r>
    </w:p>
    <w:p w:rsidR="00F3683B" w:rsidRDefault="009F70F0" w:rsidP="009F70F0">
      <w:pPr>
        <w:jc w:val="center"/>
        <w:rPr>
          <w:sz w:val="36"/>
          <w:szCs w:val="36"/>
        </w:rPr>
      </w:pPr>
      <w:r w:rsidRPr="009F70F0">
        <w:rPr>
          <w:rFonts w:hint="eastAsia"/>
          <w:sz w:val="36"/>
          <w:szCs w:val="36"/>
        </w:rPr>
        <w:t>关于加强我市中介机构监督</w:t>
      </w:r>
    </w:p>
    <w:p w:rsidR="009F70F0" w:rsidRPr="009F70F0" w:rsidRDefault="009F70F0" w:rsidP="00F3683B">
      <w:pPr>
        <w:spacing w:line="560" w:lineRule="exact"/>
        <w:jc w:val="center"/>
        <w:rPr>
          <w:sz w:val="36"/>
          <w:szCs w:val="36"/>
        </w:rPr>
      </w:pPr>
      <w:r w:rsidRPr="009F70F0">
        <w:rPr>
          <w:rFonts w:hint="eastAsia"/>
          <w:sz w:val="36"/>
          <w:szCs w:val="36"/>
        </w:rPr>
        <w:t>管理工作的通知</w:t>
      </w:r>
    </w:p>
    <w:p w:rsidR="009F70F0" w:rsidRPr="009F70F0" w:rsidRDefault="009F70F0" w:rsidP="00F3683B">
      <w:pPr>
        <w:spacing w:line="560" w:lineRule="exact"/>
        <w:jc w:val="center"/>
        <w:rPr>
          <w:sz w:val="36"/>
          <w:szCs w:val="36"/>
        </w:rPr>
      </w:pPr>
    </w:p>
    <w:p w:rsidR="009F70F0" w:rsidRPr="009F70F0" w:rsidRDefault="009F70F0" w:rsidP="00F3683B">
      <w:pPr>
        <w:spacing w:line="560" w:lineRule="exact"/>
        <w:rPr>
          <w:rFonts w:ascii="仿宋_GB2312" w:eastAsia="仿宋_GB2312"/>
          <w:sz w:val="32"/>
          <w:szCs w:val="32"/>
        </w:rPr>
      </w:pPr>
      <w:r w:rsidRPr="009F70F0">
        <w:rPr>
          <w:rFonts w:ascii="仿宋_GB2312" w:eastAsia="仿宋_GB2312" w:hint="eastAsia"/>
          <w:sz w:val="32"/>
          <w:szCs w:val="32"/>
        </w:rPr>
        <w:t>各县（市、区）工改办、龙岩经开区（高新区）、厦龙合作区管委会，市工改领导小组成员单位：</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根据《关于做好“放管服”改革和优化营商环境堵点痛点难点问题改进工作的通知》（闽政办发明电[2021]2号）及市审改办《“放管服”改革和优化营商环境堵点痛点难点问题工作分工方案》，结合我市工改实际，现就做好我市中介机构监督管理工作通知如下：</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一、引导采购单位和中介机构使用省中介服务平台。自2020年5月1日至今，我市仅在省中介服务平台发布中介比选项目仅16项，远低于实际中介服务开展情况。各工改相关单位应落实《福建省工程建设项目审批中介服务网上交易平台管理办法（试行）》（闽建审改〔2020〕6号）（详见附件1）相关要求，组织本辖区内中介机构入驻中介服务平台，将省中介服务平台项目比选结果或直接委托证明材料作为项目审批过程中的要件材料，以引导项目业主</w:t>
      </w:r>
      <w:r w:rsidR="009F70F0" w:rsidRPr="009F70F0">
        <w:rPr>
          <w:rFonts w:ascii="仿宋_GB2312" w:eastAsia="仿宋_GB2312" w:hint="eastAsia"/>
          <w:sz w:val="32"/>
          <w:szCs w:val="32"/>
        </w:rPr>
        <w:lastRenderedPageBreak/>
        <w:t>单位使用省中介服务平台对工程建设项目审批涉及中介服务事项选取活动进行管理；</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二、加大对中介机构监管及违规查处力度。市、县（市、区）对工程建设项目审批涉及中介服务事项具有管理职能的部门（以下简称中介行业主管部门）依法履行监管职责，加强监管力度，做好有关中介服务事项投诉处理工作，落实对中介服务违法违规行为的查处工作，并及时公布相关处理结果，与每月25日前报送给龙岩市公共资源交易服务中心；（邮箱：ggzyjyfwzx@163.com）</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三、完善中介服务事项管理目录。各工改相关单位应及时跟进省中介服务平台中介服务事项管理目录更新情况，若发现所管理中介服务事项未被列入管理目录，认为确有必要添加且与工程审批相关的中介服务事项，可及时报省级行业主管部门要求省中介服务平台增加服务事项。</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四、各采购单位认真做好中介服务事项管理及信用评价管理工作。根据《福建省工程建设项目审批中介服务网上交易平台管理办法（试行）》（闽建审改〔2020〕6号）政府投资工程项目原则上应当通过省中介服务平台选择中介机构，但依法需通过招标或政府采购方式选择中介服务的，按照招标投标和政府采购有关规定办理。鼓励社会投资工程项目建设单位通过中介服务平台选择中介机构。采购单位应积极使用省中介服务平台开展中介服务选取管理工作，按规定及时做好信息发布、合同网签、时效管理、信用评价等管理要求。</w:t>
      </w:r>
    </w:p>
    <w:p w:rsidR="009F70F0" w:rsidRPr="009F70F0" w:rsidRDefault="00F3683B" w:rsidP="00F3683B">
      <w:pPr>
        <w:spacing w:line="560" w:lineRule="exact"/>
        <w:rPr>
          <w:rFonts w:ascii="仿宋_GB2312" w:eastAsia="仿宋_GB2312"/>
          <w:sz w:val="32"/>
          <w:szCs w:val="32"/>
        </w:rPr>
      </w:pPr>
      <w:r>
        <w:rPr>
          <w:rFonts w:ascii="仿宋_GB2312" w:eastAsia="仿宋_GB2312" w:hint="eastAsia"/>
          <w:sz w:val="32"/>
          <w:szCs w:val="32"/>
        </w:rPr>
        <w:lastRenderedPageBreak/>
        <w:t xml:space="preserve">    </w:t>
      </w:r>
      <w:r w:rsidR="009F70F0" w:rsidRPr="009F70F0">
        <w:rPr>
          <w:rFonts w:ascii="仿宋_GB2312" w:eastAsia="仿宋_GB2312" w:hint="eastAsia"/>
          <w:sz w:val="32"/>
          <w:szCs w:val="32"/>
        </w:rPr>
        <w:t>五、鼓励各中介服务机构积极入驻省中介服务平台。省中介服务平台实行中介机构一地入驻、全省通用，为全省工程建设项目业主和审批机关购买中介服务、中介机构承接中介服务项目提供网上交易服务。各中介服务机构可积极入驻并参与平台发布的各项交易活动。入驻中介服务机构应按规定完善企业信息并保证相关信息的真实性、完整性、准确性、合法性。中选中介服务机构应及时配合完成合同网签、成果上传等工作。</w:t>
      </w:r>
    </w:p>
    <w:p w:rsidR="009F70F0" w:rsidRPr="009F70F0" w:rsidRDefault="009F70F0" w:rsidP="009F70F0">
      <w:pPr>
        <w:jc w:val="center"/>
        <w:rPr>
          <w:rFonts w:ascii="仿宋_GB2312" w:eastAsia="仿宋_GB2312"/>
          <w:sz w:val="32"/>
          <w:szCs w:val="32"/>
        </w:rPr>
      </w:pPr>
      <w:r w:rsidRPr="009F70F0">
        <w:rPr>
          <w:rFonts w:ascii="仿宋_GB2312" w:eastAsia="仿宋_GB2312" w:hint="eastAsia"/>
          <w:sz w:val="32"/>
          <w:szCs w:val="32"/>
        </w:rPr>
        <w:t xml:space="preserve"> </w:t>
      </w:r>
    </w:p>
    <w:p w:rsidR="006448AD" w:rsidRDefault="006448AD" w:rsidP="009F70F0">
      <w:pPr>
        <w:jc w:val="center"/>
        <w:rPr>
          <w:rFonts w:ascii="仿宋_GB2312" w:eastAsia="仿宋_GB2312" w:hint="eastAsia"/>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附件：1.《福建省工程建设项目审批中介服务网上交</w:t>
      </w:r>
      <w:r>
        <w:rPr>
          <w:rFonts w:ascii="仿宋_GB2312" w:eastAsia="仿宋_GB2312" w:hint="eastAsia"/>
          <w:sz w:val="32"/>
          <w:szCs w:val="32"/>
        </w:rPr>
        <w:t xml:space="preserve"> </w:t>
      </w:r>
    </w:p>
    <w:p w:rsidR="006448AD" w:rsidRDefault="006448AD" w:rsidP="006448AD">
      <w:pPr>
        <w:rPr>
          <w:rFonts w:ascii="仿宋_GB2312" w:eastAsia="仿宋_GB2312" w:hint="eastAsia"/>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易平台管理办法（试行）》（闽建审改</w:t>
      </w:r>
      <w:r>
        <w:rPr>
          <w:rFonts w:ascii="仿宋_GB2312" w:eastAsia="仿宋_GB2312" w:hint="eastAsia"/>
          <w:sz w:val="32"/>
          <w:szCs w:val="32"/>
        </w:rPr>
        <w:t xml:space="preserve">  </w:t>
      </w:r>
    </w:p>
    <w:p w:rsidR="009F70F0" w:rsidRPr="009F70F0" w:rsidRDefault="006448AD" w:rsidP="006448AD">
      <w:pPr>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〔2020〕6号）</w:t>
      </w:r>
    </w:p>
    <w:p w:rsidR="006448AD" w:rsidRDefault="00F3683B" w:rsidP="00F3683B">
      <w:pPr>
        <w:rPr>
          <w:rFonts w:ascii="仿宋_GB2312" w:eastAsia="仿宋_GB2312" w:hint="eastAsia"/>
          <w:sz w:val="32"/>
          <w:szCs w:val="32"/>
        </w:rPr>
      </w:pPr>
      <w:r>
        <w:rPr>
          <w:rFonts w:ascii="仿宋_GB2312" w:eastAsia="仿宋_GB2312" w:hint="eastAsia"/>
          <w:sz w:val="32"/>
          <w:szCs w:val="32"/>
        </w:rPr>
        <w:t xml:space="preserve">      </w:t>
      </w:r>
      <w:r w:rsidR="006448AD">
        <w:rPr>
          <w:rFonts w:ascii="仿宋_GB2312" w:eastAsia="仿宋_GB2312" w:hint="eastAsia"/>
          <w:sz w:val="32"/>
          <w:szCs w:val="32"/>
        </w:rPr>
        <w:t xml:space="preserve">    </w:t>
      </w:r>
      <w:r w:rsidR="009F70F0" w:rsidRPr="009F70F0">
        <w:rPr>
          <w:rFonts w:ascii="仿宋_GB2312" w:eastAsia="仿宋_GB2312" w:hint="eastAsia"/>
          <w:sz w:val="32"/>
          <w:szCs w:val="32"/>
        </w:rPr>
        <w:t>2.《福建省工程建设项目中介服务网系统操作</w:t>
      </w:r>
    </w:p>
    <w:p w:rsidR="009F70F0" w:rsidRPr="009F70F0" w:rsidRDefault="006448AD" w:rsidP="00F3683B">
      <w:pPr>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培训手册》获取路径</w:t>
      </w:r>
    </w:p>
    <w:p w:rsidR="009F70F0" w:rsidRPr="009F70F0" w:rsidRDefault="009F70F0" w:rsidP="009F70F0">
      <w:pPr>
        <w:jc w:val="center"/>
        <w:rPr>
          <w:rFonts w:ascii="仿宋_GB2312" w:eastAsia="仿宋_GB2312"/>
          <w:sz w:val="32"/>
          <w:szCs w:val="32"/>
        </w:rPr>
      </w:pPr>
    </w:p>
    <w:p w:rsidR="009F70F0" w:rsidRPr="009F70F0" w:rsidRDefault="009F70F0" w:rsidP="009F70F0">
      <w:pPr>
        <w:jc w:val="center"/>
        <w:rPr>
          <w:rFonts w:ascii="仿宋_GB2312" w:eastAsia="仿宋_GB2312"/>
          <w:sz w:val="32"/>
          <w:szCs w:val="32"/>
        </w:rPr>
      </w:pPr>
    </w:p>
    <w:p w:rsidR="009F70F0" w:rsidRPr="009F70F0" w:rsidRDefault="00F3683B" w:rsidP="009F70F0">
      <w:pPr>
        <w:jc w:val="center"/>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龙岩市工程建设项目审批制度改革</w:t>
      </w:r>
    </w:p>
    <w:p w:rsidR="009F70F0" w:rsidRPr="009F70F0" w:rsidRDefault="00F3683B" w:rsidP="009F70F0">
      <w:pPr>
        <w:jc w:val="center"/>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领导小组办公室</w:t>
      </w:r>
    </w:p>
    <w:p w:rsidR="009F70F0" w:rsidRPr="009F70F0" w:rsidRDefault="00F3683B" w:rsidP="009F70F0">
      <w:pPr>
        <w:jc w:val="center"/>
        <w:rPr>
          <w:rFonts w:ascii="仿宋_GB2312" w:eastAsia="仿宋_GB2312"/>
          <w:sz w:val="32"/>
          <w:szCs w:val="32"/>
        </w:rPr>
      </w:pPr>
      <w:r>
        <w:rPr>
          <w:rFonts w:ascii="仿宋_GB2312" w:eastAsia="仿宋_GB2312" w:hint="eastAsia"/>
          <w:sz w:val="32"/>
          <w:szCs w:val="32"/>
        </w:rPr>
        <w:t xml:space="preserve">            </w:t>
      </w:r>
      <w:r w:rsidR="009F70F0" w:rsidRPr="009F70F0">
        <w:rPr>
          <w:rFonts w:ascii="仿宋_GB2312" w:eastAsia="仿宋_GB2312" w:hint="eastAsia"/>
          <w:sz w:val="32"/>
          <w:szCs w:val="32"/>
        </w:rPr>
        <w:t>2021年4月28日</w:t>
      </w:r>
    </w:p>
    <w:p w:rsidR="00DF1E1E" w:rsidRDefault="00DF1E1E" w:rsidP="009F70F0">
      <w:pPr>
        <w:jc w:val="center"/>
        <w:rPr>
          <w:rFonts w:ascii="仿宋_GB2312" w:eastAsia="仿宋_GB2312" w:hint="eastAsia"/>
          <w:sz w:val="32"/>
          <w:szCs w:val="32"/>
        </w:rPr>
      </w:pPr>
    </w:p>
    <w:p w:rsidR="006448AD" w:rsidRDefault="006448AD" w:rsidP="009F70F0">
      <w:pPr>
        <w:jc w:val="center"/>
        <w:rPr>
          <w:rFonts w:ascii="仿宋_GB2312" w:eastAsia="仿宋_GB2312" w:hint="eastAsia"/>
          <w:sz w:val="32"/>
          <w:szCs w:val="32"/>
        </w:rPr>
      </w:pPr>
    </w:p>
    <w:p w:rsidR="006448AD" w:rsidRPr="009F70F0" w:rsidRDefault="006448AD" w:rsidP="006448AD">
      <w:pPr>
        <w:rPr>
          <w:rFonts w:ascii="仿宋_GB2312" w:eastAsia="仿宋_GB2312"/>
          <w:sz w:val="32"/>
          <w:szCs w:val="32"/>
        </w:rPr>
      </w:pPr>
      <w:r w:rsidRPr="009F70F0">
        <w:rPr>
          <w:rFonts w:ascii="仿宋_GB2312" w:eastAsia="仿宋_GB2312" w:hint="eastAsia"/>
          <w:sz w:val="32"/>
          <w:szCs w:val="32"/>
        </w:rPr>
        <w:t>（联系人：章林文   联系电话：0597-2688977）</w:t>
      </w:r>
    </w:p>
    <w:p w:rsidR="006448AD" w:rsidRPr="009F70F0" w:rsidRDefault="006448AD" w:rsidP="006448AD">
      <w:pPr>
        <w:rPr>
          <w:rFonts w:ascii="仿宋_GB2312" w:eastAsia="仿宋_GB2312"/>
          <w:sz w:val="32"/>
          <w:szCs w:val="32"/>
        </w:rPr>
      </w:pPr>
    </w:p>
    <w:sectPr w:rsidR="006448AD" w:rsidRPr="009F70F0" w:rsidSect="00E1457B">
      <w:type w:val="continuous"/>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5A" w:rsidRDefault="00AD615A" w:rsidP="006F6722">
      <w:r>
        <w:separator/>
      </w:r>
    </w:p>
  </w:endnote>
  <w:endnote w:type="continuationSeparator" w:id="1">
    <w:p w:rsidR="00AD615A" w:rsidRDefault="00AD615A" w:rsidP="006F6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5A" w:rsidRDefault="00AD615A" w:rsidP="006F6722">
      <w:r>
        <w:separator/>
      </w:r>
    </w:p>
  </w:footnote>
  <w:footnote w:type="continuationSeparator" w:id="1">
    <w:p w:rsidR="00AD615A" w:rsidRDefault="00AD615A" w:rsidP="006F67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7650" fillcolor="white">
      <v:fill color="white"/>
    </o:shapedefaults>
  </w:hdrShapeDefaults>
  <w:footnotePr>
    <w:footnote w:id="0"/>
    <w:footnote w:id="1"/>
  </w:footnotePr>
  <w:endnotePr>
    <w:endnote w:id="0"/>
    <w:endnote w:id="1"/>
  </w:endnotePr>
  <w:compat>
    <w:ulTrailSpace/>
    <w:shapeLayoutLikeWW8/>
    <w:useFELayout/>
  </w:compat>
  <w:rsids>
    <w:rsidRoot w:val="00FC0721"/>
    <w:rsid w:val="0001052A"/>
    <w:rsid w:val="00010ED8"/>
    <w:rsid w:val="000124B0"/>
    <w:rsid w:val="00066C8E"/>
    <w:rsid w:val="000B4AC2"/>
    <w:rsid w:val="001B092F"/>
    <w:rsid w:val="0026335D"/>
    <w:rsid w:val="00275EC1"/>
    <w:rsid w:val="003025E8"/>
    <w:rsid w:val="00334D0F"/>
    <w:rsid w:val="00340D9E"/>
    <w:rsid w:val="003813B5"/>
    <w:rsid w:val="003933EE"/>
    <w:rsid w:val="003A0426"/>
    <w:rsid w:val="003A48D1"/>
    <w:rsid w:val="003C77E4"/>
    <w:rsid w:val="003D73EB"/>
    <w:rsid w:val="003F317D"/>
    <w:rsid w:val="004B609C"/>
    <w:rsid w:val="004E25BD"/>
    <w:rsid w:val="00520238"/>
    <w:rsid w:val="005374E5"/>
    <w:rsid w:val="00546042"/>
    <w:rsid w:val="005518B5"/>
    <w:rsid w:val="00597C77"/>
    <w:rsid w:val="005E4451"/>
    <w:rsid w:val="006448AD"/>
    <w:rsid w:val="00684F65"/>
    <w:rsid w:val="006A62FF"/>
    <w:rsid w:val="006F6722"/>
    <w:rsid w:val="007566C2"/>
    <w:rsid w:val="00966635"/>
    <w:rsid w:val="009C632F"/>
    <w:rsid w:val="009F70F0"/>
    <w:rsid w:val="00A9552B"/>
    <w:rsid w:val="00AC40AE"/>
    <w:rsid w:val="00AD615A"/>
    <w:rsid w:val="00B6234E"/>
    <w:rsid w:val="00BE304A"/>
    <w:rsid w:val="00C6786A"/>
    <w:rsid w:val="00CA6513"/>
    <w:rsid w:val="00CE4D37"/>
    <w:rsid w:val="00D5798C"/>
    <w:rsid w:val="00DF1E1E"/>
    <w:rsid w:val="00E1457B"/>
    <w:rsid w:val="00F112F8"/>
    <w:rsid w:val="00F11A13"/>
    <w:rsid w:val="00F32354"/>
    <w:rsid w:val="00F3683B"/>
    <w:rsid w:val="00F42F5E"/>
    <w:rsid w:val="00F5221A"/>
    <w:rsid w:val="00F9591B"/>
    <w:rsid w:val="00FC0721"/>
    <w:rsid w:val="382F3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457B"/>
    <w:pPr>
      <w:widowControl w:val="0"/>
      <w:autoSpaceDE w:val="0"/>
      <w:autoSpaceDN w:val="0"/>
    </w:pPr>
    <w:rPr>
      <w:rFonts w:ascii="方正小标宋简体" w:eastAsia="方正小标宋简体" w:hAnsi="方正小标宋简体" w:cs="方正小标宋简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1457B"/>
    <w:rPr>
      <w:sz w:val="90"/>
      <w:szCs w:val="90"/>
    </w:rPr>
  </w:style>
  <w:style w:type="paragraph" w:styleId="a4">
    <w:name w:val="footer"/>
    <w:basedOn w:val="a"/>
    <w:link w:val="Char"/>
    <w:uiPriority w:val="99"/>
    <w:semiHidden/>
    <w:unhideWhenUsed/>
    <w:qFormat/>
    <w:rsid w:val="00E1457B"/>
    <w:pPr>
      <w:tabs>
        <w:tab w:val="center" w:pos="4153"/>
        <w:tab w:val="right" w:pos="8306"/>
      </w:tabs>
      <w:snapToGrid w:val="0"/>
    </w:pPr>
    <w:rPr>
      <w:sz w:val="18"/>
      <w:szCs w:val="18"/>
    </w:rPr>
  </w:style>
  <w:style w:type="paragraph" w:styleId="a5">
    <w:name w:val="header"/>
    <w:basedOn w:val="a"/>
    <w:link w:val="Char0"/>
    <w:uiPriority w:val="99"/>
    <w:semiHidden/>
    <w:unhideWhenUsed/>
    <w:qFormat/>
    <w:rsid w:val="00E1457B"/>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E1457B"/>
    <w:rPr>
      <w:color w:val="0000FF"/>
      <w:u w:val="single"/>
    </w:rPr>
  </w:style>
  <w:style w:type="table" w:customStyle="1" w:styleId="TableNormal">
    <w:name w:val="Table Normal"/>
    <w:uiPriority w:val="2"/>
    <w:semiHidden/>
    <w:unhideWhenUsed/>
    <w:qFormat/>
    <w:rsid w:val="00E1457B"/>
    <w:tblPr>
      <w:tblCellMar>
        <w:top w:w="0" w:type="dxa"/>
        <w:left w:w="0" w:type="dxa"/>
        <w:bottom w:w="0" w:type="dxa"/>
        <w:right w:w="0" w:type="dxa"/>
      </w:tblCellMar>
    </w:tblPr>
  </w:style>
  <w:style w:type="paragraph" w:styleId="a7">
    <w:name w:val="List Paragraph"/>
    <w:basedOn w:val="a"/>
    <w:uiPriority w:val="1"/>
    <w:qFormat/>
    <w:rsid w:val="00E1457B"/>
  </w:style>
  <w:style w:type="paragraph" w:customStyle="1" w:styleId="TableParagraph">
    <w:name w:val="Table Paragraph"/>
    <w:basedOn w:val="a"/>
    <w:uiPriority w:val="1"/>
    <w:qFormat/>
    <w:rsid w:val="00E1457B"/>
  </w:style>
  <w:style w:type="character" w:customStyle="1" w:styleId="Char0">
    <w:name w:val="页眉 Char"/>
    <w:basedOn w:val="a0"/>
    <w:link w:val="a5"/>
    <w:uiPriority w:val="99"/>
    <w:semiHidden/>
    <w:qFormat/>
    <w:rsid w:val="00E1457B"/>
    <w:rPr>
      <w:rFonts w:ascii="方正小标宋简体" w:eastAsia="方正小标宋简体" w:hAnsi="方正小标宋简体" w:cs="方正小标宋简体"/>
      <w:sz w:val="18"/>
      <w:szCs w:val="18"/>
      <w:lang w:val="zh-CN" w:eastAsia="zh-CN" w:bidi="zh-CN"/>
    </w:rPr>
  </w:style>
  <w:style w:type="character" w:customStyle="1" w:styleId="Char">
    <w:name w:val="页脚 Char"/>
    <w:basedOn w:val="a0"/>
    <w:link w:val="a4"/>
    <w:uiPriority w:val="99"/>
    <w:semiHidden/>
    <w:qFormat/>
    <w:rsid w:val="00E1457B"/>
    <w:rPr>
      <w:rFonts w:ascii="方正小标宋简体" w:eastAsia="方正小标宋简体" w:hAnsi="方正小标宋简体" w:cs="方正小标宋简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1270</Characters>
  <Application>Microsoft Office Word</Application>
  <DocSecurity>0</DocSecurity>
  <Lines>10</Lines>
  <Paragraphs>2</Paragraphs>
  <ScaleCrop>false</ScaleCrop>
  <Company>Microsoft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审批制度改革领导小组办公室文件头</dc:title>
  <dc:creator>Administrator</dc:creator>
  <cp:lastModifiedBy>阙汉荣</cp:lastModifiedBy>
  <cp:revision>6</cp:revision>
  <cp:lastPrinted>2021-03-31T02:42:00Z</cp:lastPrinted>
  <dcterms:created xsi:type="dcterms:W3CDTF">2021-04-29T01:37:00Z</dcterms:created>
  <dcterms:modified xsi:type="dcterms:W3CDTF">2021-04-29T01:51:00Z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CorelDRAW</vt:lpwstr>
  </property>
  <property fmtid="{D5CDD505-2E9C-101B-9397-08002B2CF9AE}" pid="4" name="LastSaved">
    <vt:filetime>2019-12-18T00:00:00Z</vt:filetime>
  </property>
  <property fmtid="{D5CDD505-2E9C-101B-9397-08002B2CF9AE}" pid="5" name="KSOProductBuildVer">
    <vt:lpwstr>2052-11.8.2.9022</vt:lpwstr>
  </property>
</Properties>
</file>